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48D6" w14:textId="77777777"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13D7" w14:paraId="2D5748D9" w14:textId="77777777" w:rsidTr="00164C6F">
        <w:tc>
          <w:tcPr>
            <w:tcW w:w="14174" w:type="dxa"/>
          </w:tcPr>
          <w:p w14:paraId="2D5748D7" w14:textId="77777777" w:rsidR="003513D7" w:rsidRPr="00246AE6" w:rsidRDefault="003513D7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246AE6"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 w:rsidRPr="00246AE6">
              <w:rPr>
                <w:b/>
                <w:color w:val="FF0000"/>
                <w:sz w:val="20"/>
                <w:szCs w:val="20"/>
              </w:rPr>
              <w:t>P</w:t>
            </w:r>
            <w:r w:rsidRPr="00246AE6">
              <w:rPr>
                <w:b/>
                <w:color w:val="FF0000"/>
                <w:sz w:val="20"/>
                <w:szCs w:val="20"/>
              </w:rPr>
              <w:t>urpose:</w:t>
            </w:r>
          </w:p>
          <w:p w14:paraId="6F9A358E" w14:textId="77777777" w:rsidR="002F5160" w:rsidRPr="00246AE6" w:rsidRDefault="00D52ACF" w:rsidP="00E82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AE6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E821F0" w:rsidRPr="00246AE6">
              <w:rPr>
                <w:rFonts w:ascii="Arial" w:hAnsi="Arial" w:cs="Arial"/>
                <w:sz w:val="20"/>
                <w:szCs w:val="20"/>
              </w:rPr>
              <w:t xml:space="preserve">and supervise the provision of </w:t>
            </w:r>
            <w:r w:rsidRPr="00246AE6">
              <w:rPr>
                <w:rFonts w:ascii="Arial" w:hAnsi="Arial" w:cs="Arial"/>
                <w:sz w:val="20"/>
                <w:szCs w:val="20"/>
              </w:rPr>
              <w:t>high quality</w:t>
            </w:r>
            <w:r w:rsidR="00DC6CE0" w:rsidRPr="00246AE6">
              <w:rPr>
                <w:rFonts w:ascii="Arial" w:hAnsi="Arial" w:cs="Arial"/>
                <w:sz w:val="20"/>
                <w:szCs w:val="20"/>
              </w:rPr>
              <w:t xml:space="preserve"> regulatory</w:t>
            </w:r>
            <w:r w:rsidR="00BD2FB7" w:rsidRPr="00246AE6">
              <w:rPr>
                <w:rFonts w:ascii="Arial" w:hAnsi="Arial" w:cs="Arial"/>
                <w:sz w:val="20"/>
                <w:szCs w:val="20"/>
              </w:rPr>
              <w:t xml:space="preserve"> and pu</w:t>
            </w:r>
            <w:r w:rsidR="00DC6CE0" w:rsidRPr="00246AE6">
              <w:rPr>
                <w:rFonts w:ascii="Arial" w:hAnsi="Arial" w:cs="Arial"/>
                <w:sz w:val="20"/>
                <w:szCs w:val="20"/>
              </w:rPr>
              <w:t xml:space="preserve">blic </w:t>
            </w:r>
            <w:r w:rsidR="00573176" w:rsidRPr="00246AE6">
              <w:rPr>
                <w:rFonts w:ascii="Arial" w:hAnsi="Arial" w:cs="Arial"/>
                <w:sz w:val="20"/>
                <w:szCs w:val="20"/>
              </w:rPr>
              <w:t>l</w:t>
            </w:r>
            <w:r w:rsidR="00DC6CE0" w:rsidRPr="00246AE6">
              <w:rPr>
                <w:rFonts w:ascii="Arial" w:hAnsi="Arial" w:cs="Arial"/>
                <w:sz w:val="20"/>
                <w:szCs w:val="20"/>
              </w:rPr>
              <w:t>aw</w:t>
            </w:r>
            <w:r w:rsidR="00573176" w:rsidRPr="00246AE6">
              <w:rPr>
                <w:rFonts w:ascii="Arial" w:hAnsi="Arial" w:cs="Arial"/>
                <w:sz w:val="20"/>
                <w:szCs w:val="20"/>
              </w:rPr>
              <w:t xml:space="preserve"> advice and support </w:t>
            </w:r>
            <w:r w:rsidR="00573176" w:rsidRPr="00246AE6">
              <w:rPr>
                <w:sz w:val="20"/>
                <w:szCs w:val="20"/>
              </w:rPr>
              <w:t>on policy</w:t>
            </w:r>
            <w:r w:rsidR="00DC6CE0" w:rsidRPr="00246AE6">
              <w:rPr>
                <w:sz w:val="20"/>
                <w:szCs w:val="20"/>
              </w:rPr>
              <w:t xml:space="preserve">, compliance </w:t>
            </w:r>
            <w:r w:rsidR="00573176" w:rsidRPr="00246AE6">
              <w:rPr>
                <w:sz w:val="20"/>
                <w:szCs w:val="20"/>
              </w:rPr>
              <w:t xml:space="preserve">and governance matters </w:t>
            </w:r>
            <w:r w:rsidRPr="00246AE6">
              <w:rPr>
                <w:rFonts w:ascii="Arial" w:hAnsi="Arial" w:cs="Arial"/>
                <w:sz w:val="20"/>
                <w:szCs w:val="20"/>
              </w:rPr>
              <w:t xml:space="preserve">to all functions </w:t>
            </w:r>
            <w:r w:rsidR="00E821F0" w:rsidRPr="00246AE6">
              <w:rPr>
                <w:rFonts w:ascii="Arial" w:hAnsi="Arial" w:cs="Arial"/>
                <w:sz w:val="20"/>
                <w:szCs w:val="20"/>
              </w:rPr>
              <w:t>across</w:t>
            </w:r>
            <w:r w:rsidRPr="00246AE6">
              <w:rPr>
                <w:rFonts w:ascii="Arial" w:hAnsi="Arial" w:cs="Arial"/>
                <w:sz w:val="20"/>
                <w:szCs w:val="20"/>
              </w:rPr>
              <w:t xml:space="preserve"> the SRA.</w:t>
            </w:r>
          </w:p>
          <w:p w14:paraId="2D5748D8" w14:textId="75EBBC0D" w:rsidR="00C9554F" w:rsidRPr="00246AE6" w:rsidRDefault="00C9554F" w:rsidP="00E821F0">
            <w:pPr>
              <w:jc w:val="both"/>
              <w:rPr>
                <w:sz w:val="20"/>
                <w:szCs w:val="20"/>
              </w:rPr>
            </w:pPr>
          </w:p>
        </w:tc>
      </w:tr>
      <w:tr w:rsidR="00164C6F" w14:paraId="2D5748E5" w14:textId="77777777" w:rsidTr="00E01F4D">
        <w:trPr>
          <w:trHeight w:val="1140"/>
        </w:trPr>
        <w:tc>
          <w:tcPr>
            <w:tcW w:w="14174" w:type="dxa"/>
          </w:tcPr>
          <w:p w14:paraId="5C63F3A4" w14:textId="72C5DC82" w:rsidR="00246AE6" w:rsidRPr="00E40514" w:rsidRDefault="001B52A8" w:rsidP="001B52A8">
            <w:pPr>
              <w:pStyle w:val="CommentText"/>
              <w:rPr>
                <w:sz w:val="20"/>
                <w:szCs w:val="20"/>
              </w:rPr>
            </w:pPr>
            <w:r w:rsidRPr="00E40514">
              <w:rPr>
                <w:b/>
                <w:color w:val="FF0000"/>
                <w:sz w:val="20"/>
                <w:szCs w:val="20"/>
              </w:rPr>
              <w:t>Ou</w:t>
            </w:r>
            <w:r w:rsidR="00164C6F" w:rsidRPr="00E40514">
              <w:rPr>
                <w:b/>
                <w:color w:val="FF0000"/>
                <w:sz w:val="20"/>
                <w:szCs w:val="20"/>
              </w:rPr>
              <w:t>tcomes:</w:t>
            </w:r>
            <w:r w:rsidR="008708CC" w:rsidRPr="00E40514">
              <w:rPr>
                <w:sz w:val="20"/>
                <w:szCs w:val="20"/>
              </w:rPr>
              <w:t xml:space="preserve"> </w:t>
            </w:r>
          </w:p>
          <w:p w14:paraId="78E9AC4E" w14:textId="2BFC0FC1" w:rsidR="008708CC" w:rsidRPr="00E40514" w:rsidRDefault="008708CC" w:rsidP="001D16CE">
            <w:pPr>
              <w:pStyle w:val="CommentTex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Provides high quality, effective and timely advice on the legal obligations and regulatory powers available to the organisation, including robust construction of statutes and delegated legislation</w:t>
            </w:r>
            <w:r w:rsidR="001B640B" w:rsidRPr="00E40514">
              <w:rPr>
                <w:sz w:val="20"/>
                <w:szCs w:val="20"/>
              </w:rPr>
              <w:t>, necessary procedures,</w:t>
            </w:r>
            <w:r w:rsidRPr="00E40514">
              <w:rPr>
                <w:sz w:val="20"/>
                <w:szCs w:val="20"/>
              </w:rPr>
              <w:t xml:space="preserve"> and practical application to the work of the SRA</w:t>
            </w:r>
          </w:p>
          <w:p w14:paraId="0B626FCC" w14:textId="0EB3C15C" w:rsidR="004038FA" w:rsidRPr="00E40514" w:rsidRDefault="00C62F74" w:rsidP="001D16C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 xml:space="preserve">Provides </w:t>
            </w:r>
            <w:r w:rsidRPr="00E40514">
              <w:rPr>
                <w:rFonts w:ascii="Arial" w:hAnsi="Arial" w:cs="Arial"/>
                <w:sz w:val="20"/>
                <w:szCs w:val="20"/>
              </w:rPr>
              <w:t xml:space="preserve">clear and precise technical </w:t>
            </w:r>
            <w:r w:rsidR="00D3317F" w:rsidRPr="00E40514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E40514">
              <w:rPr>
                <w:rFonts w:ascii="Arial" w:hAnsi="Arial" w:cs="Arial"/>
                <w:sz w:val="20"/>
                <w:szCs w:val="20"/>
              </w:rPr>
              <w:t>drafting</w:t>
            </w:r>
            <w:r w:rsidR="00D3317F" w:rsidRPr="00E40514">
              <w:rPr>
                <w:rFonts w:ascii="Arial" w:hAnsi="Arial" w:cs="Arial"/>
                <w:sz w:val="20"/>
                <w:szCs w:val="20"/>
              </w:rPr>
              <w:t>, including</w:t>
            </w:r>
            <w:r w:rsidR="00C06857" w:rsidRPr="00E40514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E40514">
              <w:rPr>
                <w:rFonts w:ascii="Arial" w:hAnsi="Arial" w:cs="Arial"/>
                <w:sz w:val="20"/>
                <w:szCs w:val="20"/>
              </w:rPr>
              <w:t xml:space="preserve"> delegated legislation</w:t>
            </w:r>
            <w:r w:rsidR="00617D04" w:rsidRPr="00E405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5748DF" w14:textId="55C827F8" w:rsidR="00D52ACF" w:rsidRPr="00E40514" w:rsidRDefault="00C62F74" w:rsidP="001D16C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Assists in p</w:t>
            </w:r>
            <w:r w:rsidRPr="00E40514">
              <w:rPr>
                <w:rFonts w:ascii="Arial" w:hAnsi="Arial" w:cs="Arial"/>
                <w:sz w:val="20"/>
                <w:szCs w:val="20"/>
              </w:rPr>
              <w:t>ro</w:t>
            </w:r>
            <w:r w:rsidRPr="00E40514">
              <w:rPr>
                <w:sz w:val="20"/>
                <w:szCs w:val="20"/>
              </w:rPr>
              <w:t xml:space="preserve">viding innovative solutions to </w:t>
            </w:r>
            <w:r w:rsidR="00D443A4" w:rsidRPr="00E40514">
              <w:rPr>
                <w:sz w:val="20"/>
                <w:szCs w:val="20"/>
              </w:rPr>
              <w:t xml:space="preserve">complex </w:t>
            </w:r>
            <w:r w:rsidR="00246AE6" w:rsidRPr="00E40514">
              <w:rPr>
                <w:sz w:val="20"/>
                <w:szCs w:val="20"/>
              </w:rPr>
              <w:t>l</w:t>
            </w:r>
            <w:r w:rsidRPr="00E40514">
              <w:rPr>
                <w:rFonts w:ascii="Arial" w:hAnsi="Arial" w:cs="Arial"/>
                <w:sz w:val="20"/>
                <w:szCs w:val="20"/>
              </w:rPr>
              <w:t xml:space="preserve">egal problems </w:t>
            </w:r>
            <w:proofErr w:type="gramStart"/>
            <w:r w:rsidRPr="00E40514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E40514">
              <w:rPr>
                <w:rFonts w:ascii="Arial" w:hAnsi="Arial" w:cs="Arial"/>
                <w:sz w:val="20"/>
                <w:szCs w:val="20"/>
              </w:rPr>
              <w:t xml:space="preserve"> meet the SRA’s objectives</w:t>
            </w:r>
            <w:r w:rsidR="00573176" w:rsidRPr="00E40514">
              <w:rPr>
                <w:rFonts w:ascii="Arial" w:hAnsi="Arial" w:cs="Arial"/>
                <w:sz w:val="20"/>
                <w:szCs w:val="20"/>
              </w:rPr>
              <w:t xml:space="preserve">, escalating where appropriate.  </w:t>
            </w:r>
          </w:p>
          <w:p w14:paraId="2D5748E1" w14:textId="5B46A69F" w:rsidR="00E01F4D" w:rsidRPr="00E40514" w:rsidRDefault="00C62F74" w:rsidP="001D16CE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40514">
              <w:rPr>
                <w:rFonts w:ascii="Arial" w:hAnsi="Arial" w:cs="Arial"/>
                <w:bCs/>
                <w:sz w:val="20"/>
                <w:szCs w:val="20"/>
              </w:rPr>
              <w:t xml:space="preserve">Proactively </w:t>
            </w:r>
            <w:r w:rsidR="00D52ACF" w:rsidRPr="00E40514">
              <w:rPr>
                <w:rFonts w:ascii="Arial" w:hAnsi="Arial" w:cs="Arial"/>
                <w:bCs/>
                <w:sz w:val="20"/>
                <w:szCs w:val="20"/>
              </w:rPr>
              <w:t>shar</w:t>
            </w:r>
            <w:r w:rsidR="00AD0895"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="00D52ACF" w:rsidRPr="00E40514">
              <w:rPr>
                <w:rFonts w:ascii="Arial" w:hAnsi="Arial" w:cs="Arial"/>
                <w:bCs/>
                <w:sz w:val="20"/>
                <w:szCs w:val="20"/>
              </w:rPr>
              <w:t xml:space="preserve"> expertise with the team and across the SRA to promote a </w:t>
            </w:r>
            <w:proofErr w:type="gramStart"/>
            <w:r w:rsidR="00D52ACF" w:rsidRPr="00E40514">
              <w:rPr>
                <w:rFonts w:ascii="Arial" w:hAnsi="Arial" w:cs="Arial"/>
                <w:bCs/>
                <w:sz w:val="20"/>
                <w:szCs w:val="20"/>
              </w:rPr>
              <w:t>high performance</w:t>
            </w:r>
            <w:proofErr w:type="gramEnd"/>
            <w:r w:rsidR="00D52ACF" w:rsidRPr="00E40514">
              <w:rPr>
                <w:rFonts w:ascii="Arial" w:hAnsi="Arial" w:cs="Arial"/>
                <w:bCs/>
                <w:sz w:val="20"/>
                <w:szCs w:val="20"/>
              </w:rPr>
              <w:t xml:space="preserve"> culture</w:t>
            </w:r>
          </w:p>
          <w:p w14:paraId="12514356" w14:textId="26E7F0A1" w:rsidR="00385F9F" w:rsidRPr="00E40514" w:rsidRDefault="00385F9F" w:rsidP="001D16CE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Assists in defending li</w:t>
            </w:r>
            <w:r w:rsidR="00E40514">
              <w:rPr>
                <w:sz w:val="20"/>
                <w:szCs w:val="20"/>
              </w:rPr>
              <w:t>ti</w:t>
            </w:r>
            <w:r w:rsidRPr="00E40514">
              <w:rPr>
                <w:sz w:val="20"/>
                <w:szCs w:val="20"/>
              </w:rPr>
              <w:t xml:space="preserve">gation and judicial review applications </w:t>
            </w:r>
            <w:r w:rsidR="002A264D">
              <w:rPr>
                <w:sz w:val="20"/>
                <w:szCs w:val="20"/>
              </w:rPr>
              <w:t>when</w:t>
            </w:r>
            <w:r w:rsidRPr="00E40514">
              <w:rPr>
                <w:sz w:val="20"/>
                <w:szCs w:val="20"/>
              </w:rPr>
              <w:t xml:space="preserve"> required </w:t>
            </w:r>
          </w:p>
          <w:p w14:paraId="7B6B2969" w14:textId="71C91FDD" w:rsidR="005B2846" w:rsidRPr="00E40514" w:rsidRDefault="005B2846" w:rsidP="001D16CE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Assists in managing external lawyers and counsel to obtain high quality advice at appropriate cost</w:t>
            </w:r>
          </w:p>
          <w:p w14:paraId="429D3E25" w14:textId="77777777" w:rsidR="001D16CE" w:rsidRPr="00E40514" w:rsidRDefault="001D16CE" w:rsidP="001D16CE">
            <w:pPr>
              <w:numPr>
                <w:ilvl w:val="0"/>
                <w:numId w:val="6"/>
              </w:numPr>
              <w:contextualSpacing/>
              <w:rPr>
                <w:b/>
                <w:bCs/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Engages with, and manages relationships with, internal and external stakeholders to ensure best possible outcomes</w:t>
            </w:r>
          </w:p>
          <w:p w14:paraId="0BC002A7" w14:textId="60326F59" w:rsidR="00C9554F" w:rsidRDefault="00D52ACF" w:rsidP="00386BF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rFonts w:ascii="Arial" w:hAnsi="Arial" w:cs="Arial"/>
                <w:sz w:val="20"/>
                <w:szCs w:val="20"/>
              </w:rPr>
              <w:t>Acts as a positive role model to others</w:t>
            </w:r>
            <w:r w:rsidR="00386BFF">
              <w:rPr>
                <w:rFonts w:ascii="Arial" w:hAnsi="Arial" w:cs="Arial"/>
                <w:sz w:val="20"/>
                <w:szCs w:val="20"/>
              </w:rPr>
              <w:t>,</w:t>
            </w:r>
            <w:r w:rsidR="00386BFF" w:rsidRPr="00E40514">
              <w:rPr>
                <w:rFonts w:ascii="Arial" w:hAnsi="Arial" w:cs="Arial"/>
                <w:sz w:val="20"/>
                <w:szCs w:val="20"/>
              </w:rPr>
              <w:t xml:space="preserve"> role modelling the SRA’s values</w:t>
            </w:r>
          </w:p>
          <w:p w14:paraId="2D5748E4" w14:textId="2EFF1B1D" w:rsidR="00386BFF" w:rsidRPr="00E40514" w:rsidRDefault="00386BFF" w:rsidP="00386BF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C6F" w14:paraId="2D5748F5" w14:textId="77777777" w:rsidTr="00F531E6">
        <w:trPr>
          <w:trHeight w:val="3857"/>
        </w:trPr>
        <w:tc>
          <w:tcPr>
            <w:tcW w:w="14174" w:type="dxa"/>
          </w:tcPr>
          <w:p w14:paraId="2D5748E6" w14:textId="77777777" w:rsidR="00164C6F" w:rsidRPr="00E40514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E40514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14:paraId="549FC3A8" w14:textId="77777777" w:rsidR="00CE19C2" w:rsidRPr="00E40514" w:rsidRDefault="00CE19C2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2D5748E7" w14:textId="51235C7B" w:rsidR="00164C6F" w:rsidRPr="00E40514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40514">
              <w:rPr>
                <w:b/>
                <w:sz w:val="20"/>
                <w:szCs w:val="20"/>
              </w:rPr>
              <w:t>Essential</w:t>
            </w:r>
          </w:p>
          <w:p w14:paraId="4F9B9C9C" w14:textId="77777777" w:rsidR="002B03AB" w:rsidRPr="00E40514" w:rsidRDefault="002B03AB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14:paraId="2D5748E8" w14:textId="18F51910" w:rsidR="00D52ACF" w:rsidRPr="00E40514" w:rsidRDefault="00091694" w:rsidP="00C631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rFonts w:ascii="Arial" w:hAnsi="Arial" w:cs="Arial"/>
                <w:sz w:val="20"/>
                <w:szCs w:val="20"/>
              </w:rPr>
              <w:t xml:space="preserve">Qualified </w:t>
            </w:r>
            <w:r w:rsidR="00D52ACF" w:rsidRPr="00E40514">
              <w:rPr>
                <w:rFonts w:ascii="Arial" w:hAnsi="Arial" w:cs="Arial"/>
                <w:sz w:val="20"/>
                <w:szCs w:val="20"/>
              </w:rPr>
              <w:t>Solicitor or Barrister</w:t>
            </w:r>
            <w:r w:rsidR="00644344" w:rsidRPr="00E40514">
              <w:rPr>
                <w:rFonts w:ascii="Arial" w:hAnsi="Arial" w:cs="Arial"/>
                <w:sz w:val="20"/>
                <w:szCs w:val="20"/>
              </w:rPr>
              <w:t xml:space="preserve"> (England &amp; Wales)</w:t>
            </w:r>
          </w:p>
          <w:p w14:paraId="0ED1E979" w14:textId="77777777" w:rsidR="00C63169" w:rsidRPr="00E40514" w:rsidRDefault="00C63169" w:rsidP="00C6316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 xml:space="preserve">Knowledge of the law in one or more of the following areas: regulatory, public law or professional discipline </w:t>
            </w:r>
          </w:p>
          <w:p w14:paraId="25F6841A" w14:textId="65C0D120" w:rsidR="00C63169" w:rsidRPr="00E40514" w:rsidRDefault="00C63169" w:rsidP="00C6316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Experience of providing high quality legal advice and legal drafting</w:t>
            </w:r>
            <w:r w:rsidR="00A449FF">
              <w:rPr>
                <w:sz w:val="20"/>
                <w:szCs w:val="20"/>
              </w:rPr>
              <w:t>, with g</w:t>
            </w:r>
            <w:r w:rsidR="00A449FF" w:rsidRPr="00E40514">
              <w:rPr>
                <w:sz w:val="20"/>
                <w:szCs w:val="20"/>
              </w:rPr>
              <w:t>ood attention to detail</w:t>
            </w:r>
            <w:r w:rsidRPr="00E40514">
              <w:rPr>
                <w:sz w:val="20"/>
                <w:szCs w:val="20"/>
              </w:rPr>
              <w:t xml:space="preserve"> </w:t>
            </w:r>
          </w:p>
          <w:p w14:paraId="7D36954F" w14:textId="77777777" w:rsidR="00C63169" w:rsidRPr="00E40514" w:rsidRDefault="00C63169" w:rsidP="00C6316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Good analytical and research skills with the ability proactively to solve problems in a wide variety of legal fields</w:t>
            </w:r>
          </w:p>
          <w:p w14:paraId="6A95C213" w14:textId="388E7794" w:rsidR="00C63169" w:rsidRPr="00A449FF" w:rsidRDefault="00C63169" w:rsidP="008B2FF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49FF">
              <w:rPr>
                <w:sz w:val="20"/>
                <w:szCs w:val="20"/>
              </w:rPr>
              <w:t xml:space="preserve">Able to work both autonomously and under supervision to deliver effective solutions </w:t>
            </w:r>
          </w:p>
          <w:p w14:paraId="514E6CEC" w14:textId="77777777" w:rsidR="00C63169" w:rsidRPr="00E40514" w:rsidRDefault="00C63169" w:rsidP="00C631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sz w:val="20"/>
                <w:szCs w:val="20"/>
              </w:rPr>
              <w:t>Pragmatic and able to communicate effectively and work collaboratively with legal and non-legal colleagues</w:t>
            </w:r>
          </w:p>
          <w:p w14:paraId="7E6E32C1" w14:textId="1FB72D37" w:rsidR="002B03AB" w:rsidRPr="00E40514" w:rsidRDefault="00FA0246" w:rsidP="00C631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rFonts w:ascii="Arial" w:hAnsi="Arial" w:cs="Arial"/>
                <w:sz w:val="20"/>
                <w:szCs w:val="20"/>
              </w:rPr>
              <w:t>Understanding</w:t>
            </w:r>
            <w:r w:rsidR="002B03AB" w:rsidRPr="00E40514">
              <w:rPr>
                <w:rFonts w:ascii="Arial" w:hAnsi="Arial" w:cs="Arial"/>
                <w:sz w:val="20"/>
                <w:szCs w:val="20"/>
              </w:rPr>
              <w:t xml:space="preserve"> of SRA objectives, key </w:t>
            </w:r>
            <w:r w:rsidR="00483E95" w:rsidRPr="00E40514">
              <w:rPr>
                <w:rFonts w:ascii="Arial" w:hAnsi="Arial" w:cs="Arial"/>
                <w:sz w:val="20"/>
                <w:szCs w:val="20"/>
              </w:rPr>
              <w:t xml:space="preserve">deliverables </w:t>
            </w:r>
            <w:r w:rsidR="002B03AB" w:rsidRPr="00E40514">
              <w:rPr>
                <w:rFonts w:ascii="Arial" w:hAnsi="Arial" w:cs="Arial"/>
                <w:sz w:val="20"/>
                <w:szCs w:val="20"/>
              </w:rPr>
              <w:t>and how to connect this with the political landscape</w:t>
            </w:r>
          </w:p>
          <w:p w14:paraId="4D09A4DF" w14:textId="77777777" w:rsidR="00C63169" w:rsidRPr="00E40514" w:rsidRDefault="00C63169" w:rsidP="002B03AB">
            <w:pPr>
              <w:rPr>
                <w:bCs/>
                <w:sz w:val="20"/>
                <w:szCs w:val="20"/>
              </w:rPr>
            </w:pPr>
          </w:p>
          <w:p w14:paraId="4F2B7E52" w14:textId="09CB084A" w:rsidR="00CE19C2" w:rsidRPr="00E40514" w:rsidRDefault="00CE19C2" w:rsidP="002B03AB">
            <w:pPr>
              <w:rPr>
                <w:b/>
                <w:sz w:val="20"/>
                <w:szCs w:val="20"/>
              </w:rPr>
            </w:pPr>
            <w:r w:rsidRPr="00E40514">
              <w:rPr>
                <w:b/>
                <w:sz w:val="20"/>
                <w:szCs w:val="20"/>
              </w:rPr>
              <w:t>Desirable</w:t>
            </w:r>
          </w:p>
          <w:p w14:paraId="762BB114" w14:textId="77777777" w:rsidR="00CE19C2" w:rsidRPr="00E40514" w:rsidRDefault="00CE19C2" w:rsidP="002B03AB">
            <w:pPr>
              <w:rPr>
                <w:b/>
                <w:sz w:val="20"/>
                <w:szCs w:val="20"/>
              </w:rPr>
            </w:pPr>
          </w:p>
          <w:p w14:paraId="686A4D46" w14:textId="2AE0A780" w:rsidR="00CE19C2" w:rsidRPr="00E40514" w:rsidRDefault="00C63169" w:rsidP="00C631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40514">
              <w:rPr>
                <w:rFonts w:ascii="Arial" w:hAnsi="Arial" w:cs="Arial"/>
                <w:sz w:val="20"/>
                <w:szCs w:val="20"/>
              </w:rPr>
              <w:t>Legal knowledge</w:t>
            </w:r>
            <w:r w:rsidR="00CE19C2" w:rsidRPr="00E40514">
              <w:rPr>
                <w:rFonts w:ascii="Arial" w:hAnsi="Arial" w:cs="Arial"/>
                <w:sz w:val="20"/>
                <w:szCs w:val="20"/>
              </w:rPr>
              <w:t xml:space="preserve"> in one or more of the following </w:t>
            </w:r>
            <w:r w:rsidR="00EF2AE3" w:rsidRPr="00E40514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CE19C2" w:rsidRPr="00E40514">
              <w:rPr>
                <w:rFonts w:ascii="Arial" w:hAnsi="Arial" w:cs="Arial"/>
                <w:sz w:val="20"/>
                <w:szCs w:val="20"/>
              </w:rPr>
              <w:t xml:space="preserve">areas: </w:t>
            </w:r>
            <w:r w:rsidR="002C3E8F" w:rsidRPr="00E40514">
              <w:rPr>
                <w:rFonts w:ascii="Arial" w:hAnsi="Arial" w:cs="Arial"/>
                <w:sz w:val="20"/>
                <w:szCs w:val="20"/>
              </w:rPr>
              <w:t xml:space="preserve">procurement, contract, </w:t>
            </w:r>
            <w:r w:rsidR="003308EB" w:rsidRPr="00E40514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="00010151" w:rsidRPr="00E40514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FF77C5" w:rsidRPr="00E40514">
              <w:rPr>
                <w:rFonts w:ascii="Arial" w:hAnsi="Arial" w:cs="Arial"/>
                <w:sz w:val="20"/>
                <w:szCs w:val="20"/>
              </w:rPr>
              <w:t>information law</w:t>
            </w:r>
          </w:p>
          <w:p w14:paraId="2D5748F4" w14:textId="5299ED26" w:rsidR="00CE19C2" w:rsidRPr="00E40514" w:rsidRDefault="00CE19C2" w:rsidP="00C63169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14:paraId="2D5748F6" w14:textId="77777777"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F2F1" w14:textId="77777777" w:rsidR="00444D39" w:rsidRDefault="00444D39" w:rsidP="002174DF">
      <w:r>
        <w:separator/>
      </w:r>
    </w:p>
  </w:endnote>
  <w:endnote w:type="continuationSeparator" w:id="0">
    <w:p w14:paraId="70269EA8" w14:textId="77777777" w:rsidR="00444D39" w:rsidRDefault="00444D39" w:rsidP="002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4900" w14:textId="77777777" w:rsidR="00610351" w:rsidRPr="003513D7" w:rsidRDefault="00610351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</w:t>
    </w:r>
    <w:proofErr w:type="gramStart"/>
    <w:r>
      <w:rPr>
        <w:b/>
        <w:sz w:val="16"/>
        <w:szCs w:val="16"/>
      </w:rPr>
      <w:t>aligned  to</w:t>
    </w:r>
    <w:proofErr w:type="gramEnd"/>
    <w:r>
      <w:rPr>
        <w:b/>
        <w:sz w:val="16"/>
        <w:szCs w:val="16"/>
      </w:rPr>
      <w:t xml:space="preserve">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14:paraId="2D574901" w14:textId="77777777" w:rsidR="00610351" w:rsidRDefault="00610351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14:paraId="2D574902" w14:textId="77777777" w:rsidR="00610351" w:rsidRPr="003513D7" w:rsidRDefault="00610351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14:paraId="2D574903" w14:textId="77777777" w:rsidR="00610351" w:rsidRDefault="0061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012C" w14:textId="77777777" w:rsidR="00444D39" w:rsidRDefault="00444D39" w:rsidP="002174DF">
      <w:r>
        <w:separator/>
      </w:r>
    </w:p>
  </w:footnote>
  <w:footnote w:type="continuationSeparator" w:id="0">
    <w:p w14:paraId="6AE52317" w14:textId="77777777" w:rsidR="00444D39" w:rsidRDefault="00444D39" w:rsidP="002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48FB" w14:textId="627795C2" w:rsidR="00610351" w:rsidRPr="002174DF" w:rsidRDefault="00610351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>
      <w:rPr>
        <w:b/>
        <w:sz w:val="28"/>
        <w:szCs w:val="28"/>
      </w:rPr>
      <w:t>Legal Adviser</w:t>
    </w:r>
  </w:p>
  <w:p w14:paraId="2D5748FC" w14:textId="77777777" w:rsidR="00610351" w:rsidRPr="00E27D22" w:rsidRDefault="00610351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 xml:space="preserve">Legal  -  General Counsel </w:t>
    </w:r>
    <w:r w:rsidRPr="00E27D22">
      <w:rPr>
        <w:b/>
        <w:noProof/>
        <w:sz w:val="28"/>
        <w:szCs w:val="28"/>
        <w:lang w:eastAsia="zh-CN"/>
      </w:rPr>
      <w:tab/>
    </w:r>
    <w:r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 wp14:anchorId="2D574904" wp14:editId="2D574905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748FD" w14:textId="77777777" w:rsidR="00610351" w:rsidRPr="00E27D22" w:rsidRDefault="00610351" w:rsidP="002174DF">
    <w:pPr>
      <w:pStyle w:val="Header"/>
      <w:rPr>
        <w:b/>
      </w:rPr>
    </w:pPr>
  </w:p>
  <w:p w14:paraId="2D5748FE" w14:textId="77777777" w:rsidR="00610351" w:rsidRPr="00E27D22" w:rsidRDefault="00610351" w:rsidP="002174DF">
    <w:pPr>
      <w:pStyle w:val="Header"/>
      <w:rPr>
        <w:b/>
      </w:rPr>
    </w:pPr>
    <w:r w:rsidRPr="00E27D22">
      <w:rPr>
        <w:b/>
      </w:rPr>
      <w:t xml:space="preserve">Career Framework: </w:t>
    </w:r>
    <w:r>
      <w:rPr>
        <w:b/>
      </w:rPr>
      <w:t xml:space="preserve">Policy &amp; Advisory </w:t>
    </w:r>
  </w:p>
  <w:p w14:paraId="2D5748FF" w14:textId="71360CDB" w:rsidR="00610351" w:rsidRPr="00E27D22" w:rsidRDefault="00610351" w:rsidP="002174DF">
    <w:pPr>
      <w:pStyle w:val="Header"/>
      <w:rPr>
        <w:b/>
      </w:rPr>
    </w:pPr>
    <w:r>
      <w:rPr>
        <w:b/>
      </w:rPr>
      <w:t>Level</w:t>
    </w:r>
    <w:r w:rsidRPr="00E27D22">
      <w:rPr>
        <w:b/>
      </w:rPr>
      <w:t xml:space="preserve"> </w:t>
    </w:r>
    <w:r w:rsidR="00A06174">
      <w:rPr>
        <w:b/>
      </w:rPr>
      <w:t>4</w:t>
    </w:r>
    <w:r w:rsidRPr="002F5160">
      <w:rPr>
        <w:b/>
      </w:rPr>
      <w:t xml:space="preserve"> (</w:t>
    </w:r>
    <w:r w:rsidR="00A06174">
      <w:rPr>
        <w:b/>
      </w:rPr>
      <w:t>upper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88B"/>
    <w:multiLevelType w:val="hybridMultilevel"/>
    <w:tmpl w:val="3A14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F430EF"/>
    <w:multiLevelType w:val="hybridMultilevel"/>
    <w:tmpl w:val="0598D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A727A"/>
    <w:multiLevelType w:val="hybridMultilevel"/>
    <w:tmpl w:val="96187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65301"/>
    <w:multiLevelType w:val="hybridMultilevel"/>
    <w:tmpl w:val="2E888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E65D0"/>
    <w:multiLevelType w:val="hybridMultilevel"/>
    <w:tmpl w:val="54B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09EE"/>
    <w:multiLevelType w:val="hybridMultilevel"/>
    <w:tmpl w:val="64EC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59EF"/>
    <w:multiLevelType w:val="hybridMultilevel"/>
    <w:tmpl w:val="FC3A0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9D3BC1"/>
    <w:multiLevelType w:val="hybridMultilevel"/>
    <w:tmpl w:val="51EC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3E2C"/>
    <w:multiLevelType w:val="hybridMultilevel"/>
    <w:tmpl w:val="D6EE1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6719">
    <w:abstractNumId w:val="1"/>
  </w:num>
  <w:num w:numId="2" w16cid:durableId="1225992751">
    <w:abstractNumId w:val="7"/>
  </w:num>
  <w:num w:numId="3" w16cid:durableId="26756546">
    <w:abstractNumId w:val="13"/>
  </w:num>
  <w:num w:numId="4" w16cid:durableId="931548425">
    <w:abstractNumId w:val="6"/>
  </w:num>
  <w:num w:numId="5" w16cid:durableId="556664822">
    <w:abstractNumId w:val="12"/>
  </w:num>
  <w:num w:numId="6" w16cid:durableId="758600316">
    <w:abstractNumId w:val="3"/>
  </w:num>
  <w:num w:numId="7" w16cid:durableId="385570288">
    <w:abstractNumId w:val="4"/>
  </w:num>
  <w:num w:numId="8" w16cid:durableId="1895698703">
    <w:abstractNumId w:val="8"/>
  </w:num>
  <w:num w:numId="9" w16cid:durableId="1589383494">
    <w:abstractNumId w:val="10"/>
  </w:num>
  <w:num w:numId="10" w16cid:durableId="304705917">
    <w:abstractNumId w:val="0"/>
  </w:num>
  <w:num w:numId="11" w16cid:durableId="120072675">
    <w:abstractNumId w:val="5"/>
  </w:num>
  <w:num w:numId="12" w16cid:durableId="443307508">
    <w:abstractNumId w:val="9"/>
  </w:num>
  <w:num w:numId="13" w16cid:durableId="119496539">
    <w:abstractNumId w:val="11"/>
  </w:num>
  <w:num w:numId="14" w16cid:durableId="117291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4"/>
    <w:rsid w:val="00010151"/>
    <w:rsid w:val="00026CDB"/>
    <w:rsid w:val="00056505"/>
    <w:rsid w:val="00091694"/>
    <w:rsid w:val="000D3075"/>
    <w:rsid w:val="001357F6"/>
    <w:rsid w:val="00164C6F"/>
    <w:rsid w:val="0018036F"/>
    <w:rsid w:val="001B52A8"/>
    <w:rsid w:val="001B640B"/>
    <w:rsid w:val="001D16CE"/>
    <w:rsid w:val="001D6192"/>
    <w:rsid w:val="001D6D0B"/>
    <w:rsid w:val="002174DF"/>
    <w:rsid w:val="00240419"/>
    <w:rsid w:val="00246AE6"/>
    <w:rsid w:val="0025757A"/>
    <w:rsid w:val="002A264D"/>
    <w:rsid w:val="002B03AB"/>
    <w:rsid w:val="002C3E8F"/>
    <w:rsid w:val="002E4201"/>
    <w:rsid w:val="002F5160"/>
    <w:rsid w:val="00313A78"/>
    <w:rsid w:val="003308EB"/>
    <w:rsid w:val="0035021D"/>
    <w:rsid w:val="003513D7"/>
    <w:rsid w:val="003721E6"/>
    <w:rsid w:val="00385703"/>
    <w:rsid w:val="00385F9F"/>
    <w:rsid w:val="00386BFF"/>
    <w:rsid w:val="003919BF"/>
    <w:rsid w:val="003D11D3"/>
    <w:rsid w:val="003D5407"/>
    <w:rsid w:val="003D5AE3"/>
    <w:rsid w:val="004038FA"/>
    <w:rsid w:val="00406625"/>
    <w:rsid w:val="0041005C"/>
    <w:rsid w:val="00420F66"/>
    <w:rsid w:val="00444D39"/>
    <w:rsid w:val="004576F9"/>
    <w:rsid w:val="00462178"/>
    <w:rsid w:val="00470976"/>
    <w:rsid w:val="00483E95"/>
    <w:rsid w:val="004C6148"/>
    <w:rsid w:val="004F315C"/>
    <w:rsid w:val="00527606"/>
    <w:rsid w:val="005455EC"/>
    <w:rsid w:val="00546293"/>
    <w:rsid w:val="00561837"/>
    <w:rsid w:val="00561BCD"/>
    <w:rsid w:val="00573176"/>
    <w:rsid w:val="005804A1"/>
    <w:rsid w:val="0058330C"/>
    <w:rsid w:val="005A45E5"/>
    <w:rsid w:val="005B2846"/>
    <w:rsid w:val="006045A9"/>
    <w:rsid w:val="00610351"/>
    <w:rsid w:val="00617D04"/>
    <w:rsid w:val="00644344"/>
    <w:rsid w:val="006D0826"/>
    <w:rsid w:val="00705E42"/>
    <w:rsid w:val="007534EA"/>
    <w:rsid w:val="00783D0B"/>
    <w:rsid w:val="007A504A"/>
    <w:rsid w:val="007D7E14"/>
    <w:rsid w:val="00814122"/>
    <w:rsid w:val="00850C55"/>
    <w:rsid w:val="008708CC"/>
    <w:rsid w:val="00872774"/>
    <w:rsid w:val="008A1C41"/>
    <w:rsid w:val="008B3E31"/>
    <w:rsid w:val="008C6360"/>
    <w:rsid w:val="008C6B3E"/>
    <w:rsid w:val="008D284E"/>
    <w:rsid w:val="008E1196"/>
    <w:rsid w:val="008E325C"/>
    <w:rsid w:val="00905F73"/>
    <w:rsid w:val="00926AD8"/>
    <w:rsid w:val="00954D85"/>
    <w:rsid w:val="00970AC7"/>
    <w:rsid w:val="00A06174"/>
    <w:rsid w:val="00A2301D"/>
    <w:rsid w:val="00A358CF"/>
    <w:rsid w:val="00A449FF"/>
    <w:rsid w:val="00A93279"/>
    <w:rsid w:val="00AB1489"/>
    <w:rsid w:val="00AD0895"/>
    <w:rsid w:val="00AF5E49"/>
    <w:rsid w:val="00AF6952"/>
    <w:rsid w:val="00B0089C"/>
    <w:rsid w:val="00B65BE4"/>
    <w:rsid w:val="00B75485"/>
    <w:rsid w:val="00B92936"/>
    <w:rsid w:val="00BA5738"/>
    <w:rsid w:val="00BB34EB"/>
    <w:rsid w:val="00BD2FB7"/>
    <w:rsid w:val="00BD739B"/>
    <w:rsid w:val="00BE1720"/>
    <w:rsid w:val="00BE6701"/>
    <w:rsid w:val="00BF6000"/>
    <w:rsid w:val="00BF6B56"/>
    <w:rsid w:val="00C00CB7"/>
    <w:rsid w:val="00C06857"/>
    <w:rsid w:val="00C16702"/>
    <w:rsid w:val="00C62F74"/>
    <w:rsid w:val="00C63169"/>
    <w:rsid w:val="00C648A3"/>
    <w:rsid w:val="00C9554F"/>
    <w:rsid w:val="00CB570E"/>
    <w:rsid w:val="00CE19C2"/>
    <w:rsid w:val="00D3317F"/>
    <w:rsid w:val="00D443A4"/>
    <w:rsid w:val="00D52ACF"/>
    <w:rsid w:val="00D5412B"/>
    <w:rsid w:val="00D92E0C"/>
    <w:rsid w:val="00DB47C7"/>
    <w:rsid w:val="00DC0434"/>
    <w:rsid w:val="00DC6CE0"/>
    <w:rsid w:val="00DD2A16"/>
    <w:rsid w:val="00DD3A67"/>
    <w:rsid w:val="00DF56EC"/>
    <w:rsid w:val="00E01F4D"/>
    <w:rsid w:val="00E40514"/>
    <w:rsid w:val="00E4373F"/>
    <w:rsid w:val="00E821F0"/>
    <w:rsid w:val="00EF2AE3"/>
    <w:rsid w:val="00F26565"/>
    <w:rsid w:val="00F26715"/>
    <w:rsid w:val="00F530FA"/>
    <w:rsid w:val="00F531E6"/>
    <w:rsid w:val="00F66C38"/>
    <w:rsid w:val="00FA0246"/>
    <w:rsid w:val="00FB0CFB"/>
    <w:rsid w:val="00FD0188"/>
    <w:rsid w:val="00FE1BCD"/>
    <w:rsid w:val="00FE473B"/>
    <w:rsid w:val="00FE531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5748D6"/>
  <w15:docId w15:val="{6F3B3B4A-FA06-4414-AC2F-7EA7E3DB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74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45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5E5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5E5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E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A45E5"/>
    <w:pPr>
      <w:spacing w:after="0" w:line="240" w:lineRule="auto"/>
    </w:pPr>
    <w:rPr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66C3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Jyoti Golchha</cp:lastModifiedBy>
  <cp:revision>2</cp:revision>
  <cp:lastPrinted>2012-04-30T09:26:00Z</cp:lastPrinted>
  <dcterms:created xsi:type="dcterms:W3CDTF">2022-09-13T09:44:00Z</dcterms:created>
  <dcterms:modified xsi:type="dcterms:W3CDTF">2022-09-13T09:44:00Z</dcterms:modified>
</cp:coreProperties>
</file>